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13" w:rsidRPr="00A911F0" w:rsidRDefault="00B07432">
      <w:pPr>
        <w:rPr>
          <w:b/>
          <w:color w:val="4F81BD" w:themeColor="accent1"/>
          <w:sz w:val="28"/>
          <w:szCs w:val="28"/>
        </w:rPr>
      </w:pPr>
      <w:r w:rsidRPr="00A911F0">
        <w:rPr>
          <w:b/>
          <w:color w:val="4F81BD" w:themeColor="accent1"/>
          <w:sz w:val="28"/>
          <w:szCs w:val="28"/>
        </w:rPr>
        <w:t xml:space="preserve">Streef Convenant </w:t>
      </w:r>
      <w:r w:rsidR="00F80923" w:rsidRPr="00A911F0">
        <w:rPr>
          <w:b/>
          <w:color w:val="4F81BD" w:themeColor="accent1"/>
          <w:sz w:val="28"/>
          <w:szCs w:val="28"/>
        </w:rPr>
        <w:t xml:space="preserve">Stichting Wijkraad </w:t>
      </w:r>
      <w:r w:rsidRPr="00A911F0">
        <w:rPr>
          <w:b/>
          <w:color w:val="4F81BD" w:themeColor="accent1"/>
          <w:sz w:val="28"/>
          <w:szCs w:val="28"/>
        </w:rPr>
        <w:t>KCKRooi met gemeente Sint-Oedenrode</w:t>
      </w:r>
    </w:p>
    <w:p w:rsidR="0007554F" w:rsidRPr="00A911F0" w:rsidRDefault="0007554F" w:rsidP="0007554F">
      <w:pPr>
        <w:rPr>
          <w:color w:val="4F81BD" w:themeColor="accent1"/>
        </w:rPr>
      </w:pPr>
      <w:r w:rsidRPr="00A911F0">
        <w:rPr>
          <w:color w:val="4F81BD" w:themeColor="accent1"/>
        </w:rPr>
        <w:t xml:space="preserve">Doel van </w:t>
      </w:r>
      <w:r w:rsidR="00D66F1C" w:rsidRPr="00A911F0">
        <w:rPr>
          <w:color w:val="4F81BD" w:themeColor="accent1"/>
        </w:rPr>
        <w:t xml:space="preserve">het </w:t>
      </w:r>
      <w:r w:rsidRPr="00A911F0">
        <w:rPr>
          <w:color w:val="4F81BD" w:themeColor="accent1"/>
        </w:rPr>
        <w:t>convenant</w:t>
      </w:r>
      <w:r w:rsidR="00D66F1C" w:rsidRPr="00A911F0">
        <w:rPr>
          <w:color w:val="4F81BD" w:themeColor="accent1"/>
        </w:rPr>
        <w:t xml:space="preserve"> is het b</w:t>
      </w:r>
      <w:r w:rsidRPr="00A911F0">
        <w:rPr>
          <w:color w:val="4F81BD" w:themeColor="accent1"/>
        </w:rPr>
        <w:t xml:space="preserve">evorderen van een goede samenwerking tussen </w:t>
      </w:r>
      <w:r w:rsidR="00D66F1C" w:rsidRPr="00A911F0">
        <w:rPr>
          <w:color w:val="4F81BD" w:themeColor="accent1"/>
        </w:rPr>
        <w:t xml:space="preserve">de </w:t>
      </w:r>
      <w:r w:rsidRPr="00A911F0">
        <w:rPr>
          <w:color w:val="4F81BD" w:themeColor="accent1"/>
        </w:rPr>
        <w:t>gemeente</w:t>
      </w:r>
      <w:r w:rsidR="00D66F1C" w:rsidRPr="00A911F0">
        <w:rPr>
          <w:color w:val="4F81BD" w:themeColor="accent1"/>
        </w:rPr>
        <w:t xml:space="preserve"> Sint-Oedenrode</w:t>
      </w:r>
      <w:r w:rsidRPr="00A911F0">
        <w:rPr>
          <w:color w:val="4F81BD" w:themeColor="accent1"/>
        </w:rPr>
        <w:t xml:space="preserve"> en </w:t>
      </w:r>
      <w:r w:rsidR="00D66F1C" w:rsidRPr="00A911F0">
        <w:rPr>
          <w:color w:val="4F81BD" w:themeColor="accent1"/>
        </w:rPr>
        <w:t>Stichting W</w:t>
      </w:r>
      <w:r w:rsidRPr="00A911F0">
        <w:rPr>
          <w:color w:val="4F81BD" w:themeColor="accent1"/>
        </w:rPr>
        <w:t>ijkraad KCKRooi.</w:t>
      </w:r>
    </w:p>
    <w:p w:rsidR="00B07432" w:rsidRPr="00A911F0" w:rsidRDefault="00B07432">
      <w:pPr>
        <w:rPr>
          <w:b/>
          <w:color w:val="000000" w:themeColor="text1"/>
        </w:rPr>
      </w:pPr>
      <w:r w:rsidRPr="00A911F0">
        <w:rPr>
          <w:b/>
          <w:color w:val="000000" w:themeColor="text1"/>
        </w:rPr>
        <w:t xml:space="preserve">Convenant </w:t>
      </w:r>
      <w:r w:rsidR="00D66F1C" w:rsidRPr="00A911F0">
        <w:rPr>
          <w:b/>
          <w:color w:val="000000" w:themeColor="text1"/>
        </w:rPr>
        <w:t>W</w:t>
      </w:r>
      <w:r w:rsidRPr="00A911F0">
        <w:rPr>
          <w:b/>
          <w:color w:val="000000" w:themeColor="text1"/>
        </w:rPr>
        <w:t>ijkraad KCKRooi – college van burgemeester en wethouders Sint-Oedenrode</w:t>
      </w:r>
    </w:p>
    <w:p w:rsidR="00B07432" w:rsidRDefault="00B07432">
      <w:r>
        <w:t>De wijkraad en het college van burgmeester en wethouders van Sint-Oedenrode hebben op &lt;</w:t>
      </w:r>
      <w:r w:rsidRPr="00D66F1C">
        <w:rPr>
          <w:i/>
        </w:rPr>
        <w:t>dag, datum</w:t>
      </w:r>
      <w:r>
        <w:t>&gt; afspraken gemaakt over hun samenwerking en dit vastgelegd in onderstaand convenant.</w:t>
      </w:r>
    </w:p>
    <w:tbl>
      <w:tblPr>
        <w:tblStyle w:val="Tabelraster"/>
        <w:tblW w:w="0" w:type="auto"/>
        <w:tblLook w:val="04A0"/>
      </w:tblPr>
      <w:tblGrid>
        <w:gridCol w:w="4606"/>
        <w:gridCol w:w="4606"/>
      </w:tblGrid>
      <w:tr w:rsidR="00B07432" w:rsidTr="00B07432">
        <w:tc>
          <w:tcPr>
            <w:tcW w:w="4606" w:type="dxa"/>
          </w:tcPr>
          <w:p w:rsidR="00B07432" w:rsidRDefault="00B07432" w:rsidP="00B07432">
            <w:r>
              <w:t>1a. De wijkraad verbindt zich als groep van actieve betrokkenen uit de wijk tot het adviseren van het college.</w:t>
            </w:r>
          </w:p>
          <w:p w:rsidR="00DD7705" w:rsidRDefault="00DD7705" w:rsidP="00B07432"/>
          <w:p w:rsidR="00DD7705" w:rsidRDefault="00DD7705" w:rsidP="00B07432">
            <w:r>
              <w:t xml:space="preserve">De wijkraad is uitdrukkelijk </w:t>
            </w:r>
            <w:proofErr w:type="spellStart"/>
            <w:r>
              <w:t>géén</w:t>
            </w:r>
            <w:proofErr w:type="spellEnd"/>
            <w:r>
              <w:t xml:space="preserve"> afzonderlijke bestuurslaag in de gemeente, maar vormt een communicatiepunt met adviesrecht tussen gemeente en bewoners;</w:t>
            </w:r>
          </w:p>
        </w:tc>
        <w:tc>
          <w:tcPr>
            <w:tcW w:w="4606" w:type="dxa"/>
          </w:tcPr>
          <w:p w:rsidR="00B07432" w:rsidRDefault="00B07432">
            <w:r>
              <w:t>1b. Het college verbindt zich de wijkraad zo vroeg mogelijk te bet</w:t>
            </w:r>
            <w:r w:rsidR="00D66F1C">
              <w:t>rekken bij beleidsvoorbereiding</w:t>
            </w:r>
            <w:r>
              <w:t xml:space="preserve">. Hiertoe maakt het college jaarlijks (maximaal vier keer per jaar mits er sprake is </w:t>
            </w:r>
            <w:r w:rsidR="00D66F1C">
              <w:t>van nieuwe voornemens) met de</w:t>
            </w:r>
            <w:r w:rsidR="00D52173">
              <w:t xml:space="preserve"> wijk</w:t>
            </w:r>
            <w:r w:rsidR="00D66F1C">
              <w:t>raad</w:t>
            </w:r>
            <w:r w:rsidR="00D52173">
              <w:t xml:space="preserve"> afspraken over de te behandelen onderwerpen.</w:t>
            </w:r>
          </w:p>
          <w:p w:rsidR="00D52173" w:rsidRDefault="00D52173"/>
          <w:p w:rsidR="00DD7705" w:rsidRDefault="00DD7705">
            <w:r>
              <w:t xml:space="preserve">De wijkraad wordt betrokken bij alle zaken die gevolgen hebben voor het gebruik of de beleving van de openbare ruimte of die consequenties hebben voor de leefbaarheid </w:t>
            </w:r>
            <w:r w:rsidR="00D66F1C">
              <w:t>en het welzijn in de wijk</w:t>
            </w:r>
            <w:r>
              <w:t>.</w:t>
            </w:r>
          </w:p>
          <w:p w:rsidR="00DD7705" w:rsidRDefault="00DD7705"/>
          <w:p w:rsidR="00D52173" w:rsidRDefault="00D52173">
            <w:r>
              <w:t>De wijkwethouder brengt het wijkbelang in bij het college en bij vakwethouders, bijvoorbeeld bij het vertalen van de wijkvraag in de programma-begroting. Bij uitzondering brengt de wijkwethouder de vakwethouder in contact met de wijkraad als overleg met ambtenaren over onderwerpen in de wijk of het gevoerde proces in de wijk niet naar tevredenheid verloopt.</w:t>
            </w:r>
          </w:p>
        </w:tc>
      </w:tr>
      <w:tr w:rsidR="00B07432" w:rsidTr="00B07432">
        <w:tc>
          <w:tcPr>
            <w:tcW w:w="4606" w:type="dxa"/>
          </w:tcPr>
          <w:p w:rsidR="00B07432" w:rsidRDefault="00D52173" w:rsidP="00D52173">
            <w:r>
              <w:t xml:space="preserve">2a. De wijkraad zal, bij voorkeur in vroegtijdige dialoog met de gemeente, zo veel mogelijk de adviezen geven die het college hun vraagt. Ook kan de wijkraad het college ongevraagde adviezen geven. Een niet gegeven advies geldt niet als een instemmend advies. </w:t>
            </w:r>
          </w:p>
          <w:p w:rsidR="00DD7705" w:rsidRDefault="00DD7705" w:rsidP="00D52173"/>
          <w:p w:rsidR="00DD7705" w:rsidRDefault="00DD7705" w:rsidP="00D52173"/>
        </w:tc>
        <w:tc>
          <w:tcPr>
            <w:tcW w:w="4606" w:type="dxa"/>
          </w:tcPr>
          <w:p w:rsidR="00B07432" w:rsidRDefault="00D52173">
            <w:r>
              <w:t>2b. Het college zal bij voorkeur in vroegtijdige dialoog met de wijkraad:</w:t>
            </w:r>
          </w:p>
          <w:p w:rsidR="00D52173" w:rsidRDefault="00D52173" w:rsidP="00D52173">
            <w:pPr>
              <w:pStyle w:val="Lijstalinea"/>
              <w:numPr>
                <w:ilvl w:val="0"/>
                <w:numId w:val="1"/>
              </w:numPr>
            </w:pPr>
            <w:r>
              <w:t>Bij de door haar gevraagde adviezen kenbaar maken wat de door haar beoogde beïnvloedingsruimte is van het advies,</w:t>
            </w:r>
          </w:p>
          <w:p w:rsidR="00D52173" w:rsidRDefault="00D52173" w:rsidP="00D52173">
            <w:pPr>
              <w:pStyle w:val="Lijstalinea"/>
              <w:numPr>
                <w:ilvl w:val="0"/>
                <w:numId w:val="1"/>
              </w:numPr>
            </w:pPr>
            <w:r>
              <w:t>De adviezen van de wijkraad tijdig voorzien van een heldere reactie,</w:t>
            </w:r>
          </w:p>
          <w:p w:rsidR="00600406" w:rsidRPr="00600406" w:rsidRDefault="00D52173" w:rsidP="005169D6">
            <w:pPr>
              <w:pStyle w:val="Lijstalinea"/>
              <w:numPr>
                <w:ilvl w:val="0"/>
                <w:numId w:val="1"/>
              </w:numPr>
            </w:pPr>
            <w:r>
              <w:t>De adviezen van de wijkraad in principe overnemen of in de uiteindelijke besluitvorming hiervan beargumenteerd afwijken.</w:t>
            </w:r>
          </w:p>
        </w:tc>
      </w:tr>
      <w:tr w:rsidR="00B07432" w:rsidTr="00B07432">
        <w:tc>
          <w:tcPr>
            <w:tcW w:w="4606" w:type="dxa"/>
          </w:tcPr>
          <w:p w:rsidR="00B07432" w:rsidRDefault="00D47085">
            <w:r>
              <w:t>3a. De wijkraad legt verantwoording af over hun wijkgericht werken door middel van ‘eigen’ informatievoorziening aan zo veel m</w:t>
            </w:r>
            <w:r w:rsidR="005169D6">
              <w:t>ogelijk bewoners, ondernemers en</w:t>
            </w:r>
            <w:r>
              <w:t xml:space="preserve"> andere belanghebbenden in de wijk.</w:t>
            </w:r>
          </w:p>
          <w:p w:rsidR="00756FE4" w:rsidRDefault="00756FE4"/>
          <w:p w:rsidR="00756FE4" w:rsidRPr="00756FE4" w:rsidRDefault="00756FE4" w:rsidP="00756FE4">
            <w:r w:rsidRPr="00756FE4">
              <w:rPr>
                <w:rFonts w:cs="Arial"/>
              </w:rPr>
              <w:lastRenderedPageBreak/>
              <w:t>Bij de wijkraad fungeert de secretaris in het algemeen als vast aanspreekpunt voor de coördinerend ambtenaar binnen de gemeentelijke organisatie.</w:t>
            </w:r>
          </w:p>
          <w:p w:rsidR="00756FE4" w:rsidRDefault="00756FE4"/>
          <w:p w:rsidR="00DD7705" w:rsidRDefault="00DD7705"/>
          <w:p w:rsidR="00DD7705" w:rsidRDefault="00DD7705"/>
        </w:tc>
        <w:tc>
          <w:tcPr>
            <w:tcW w:w="4606" w:type="dxa"/>
          </w:tcPr>
          <w:p w:rsidR="00B07432" w:rsidRDefault="00D47085">
            <w:r>
              <w:lastRenderedPageBreak/>
              <w:t xml:space="preserve">3b. Het college faciliteert deze informatievoorziening van de wijkraad en legt verantwoording af aan de gemeenteraad over het betrekken van de wijkraad bij de beleidsvoorbereiding en de verwerking van hun inbreng en adviezen in de voorstellen aan </w:t>
            </w:r>
            <w:r>
              <w:lastRenderedPageBreak/>
              <w:t>college en raad. Het college stel</w:t>
            </w:r>
            <w:r w:rsidR="00DD7705">
              <w:t>t</w:t>
            </w:r>
            <w:r>
              <w:t xml:space="preserve"> de wijkraad in de </w:t>
            </w:r>
            <w:r w:rsidR="002E6EAE">
              <w:t>gelegenheid om ook zelf de gemeenteraad te informeren.</w:t>
            </w:r>
          </w:p>
          <w:p w:rsidR="002E6EAE" w:rsidRDefault="002E6EAE"/>
          <w:p w:rsidR="002E6EAE" w:rsidRDefault="002E6EAE" w:rsidP="002E6EAE">
            <w:r>
              <w:t>De wijkwethouder neemt, minimaal twee keer per jaar op uitnodiging, deel aan de vergadering van de wijkraad ter bespreking van de ontwikkelingen in de wijk en de inspanningen van het college.</w:t>
            </w:r>
          </w:p>
          <w:p w:rsidR="00DD7705" w:rsidRDefault="00DD7705" w:rsidP="002E6EAE"/>
          <w:p w:rsidR="00756FE4" w:rsidRPr="00756FE4" w:rsidRDefault="00756FE4" w:rsidP="00756FE4">
            <w:pPr>
              <w:pStyle w:val="Plattetekst"/>
              <w:ind w:left="0"/>
              <w:rPr>
                <w:rFonts w:asciiTheme="minorHAnsi" w:hAnsiTheme="minorHAnsi" w:cs="Arial"/>
                <w:b w:val="0"/>
                <w:sz w:val="22"/>
                <w:szCs w:val="22"/>
              </w:rPr>
            </w:pPr>
            <w:r w:rsidRPr="00756FE4">
              <w:rPr>
                <w:rFonts w:asciiTheme="minorHAnsi" w:hAnsiTheme="minorHAnsi" w:cs="Arial"/>
                <w:b w:val="0"/>
                <w:sz w:val="22"/>
                <w:szCs w:val="22"/>
              </w:rPr>
              <w:t>Daarnaast is er een coördinerende ambtenaar voor de wijk die een stimulerende, ondersteunende en adviserende taak heeft op het gebied van samenwerking en communicatie tussen wijkraad en gemeente.</w:t>
            </w:r>
          </w:p>
          <w:p w:rsidR="00756FE4" w:rsidRPr="00756FE4" w:rsidRDefault="00756FE4" w:rsidP="00756FE4">
            <w:pPr>
              <w:pStyle w:val="Plattetekst"/>
              <w:numPr>
                <w:ilvl w:val="0"/>
                <w:numId w:val="7"/>
              </w:numPr>
              <w:rPr>
                <w:rFonts w:asciiTheme="minorHAnsi" w:hAnsiTheme="minorHAnsi" w:cs="Arial"/>
                <w:b w:val="0"/>
                <w:sz w:val="22"/>
                <w:szCs w:val="22"/>
              </w:rPr>
            </w:pPr>
            <w:r w:rsidRPr="00756FE4">
              <w:rPr>
                <w:rFonts w:asciiTheme="minorHAnsi" w:hAnsiTheme="minorHAnsi" w:cs="Arial"/>
                <w:b w:val="0"/>
                <w:sz w:val="22"/>
                <w:szCs w:val="22"/>
              </w:rPr>
              <w:t xml:space="preserve">De coördinerend ambtenaar is het vaste aanspreekpunt voor de wijkraad. Hij draagt zorg voor de </w:t>
            </w:r>
            <w:proofErr w:type="spellStart"/>
            <w:r w:rsidRPr="00756FE4">
              <w:rPr>
                <w:rFonts w:asciiTheme="minorHAnsi" w:hAnsiTheme="minorHAnsi" w:cs="Arial"/>
                <w:b w:val="0"/>
                <w:sz w:val="22"/>
                <w:szCs w:val="22"/>
              </w:rPr>
              <w:t>toeleiding</w:t>
            </w:r>
            <w:proofErr w:type="spellEnd"/>
            <w:r w:rsidRPr="00756FE4">
              <w:rPr>
                <w:rFonts w:asciiTheme="minorHAnsi" w:hAnsiTheme="minorHAnsi" w:cs="Arial"/>
                <w:b w:val="0"/>
                <w:sz w:val="22"/>
                <w:szCs w:val="22"/>
              </w:rPr>
              <w:t xml:space="preserve"> van vragen naar de juiste plek in de gemeentelijke organisatie.</w:t>
            </w:r>
          </w:p>
          <w:p w:rsidR="00756FE4" w:rsidRPr="00756FE4" w:rsidRDefault="00756FE4" w:rsidP="00756FE4">
            <w:pPr>
              <w:pStyle w:val="Plattetekst"/>
              <w:numPr>
                <w:ilvl w:val="0"/>
                <w:numId w:val="7"/>
              </w:numPr>
              <w:rPr>
                <w:rFonts w:asciiTheme="minorHAnsi" w:hAnsiTheme="minorHAnsi" w:cs="Arial"/>
                <w:b w:val="0"/>
                <w:sz w:val="22"/>
                <w:szCs w:val="22"/>
              </w:rPr>
            </w:pPr>
            <w:r w:rsidRPr="00756FE4">
              <w:rPr>
                <w:rFonts w:asciiTheme="minorHAnsi" w:hAnsiTheme="minorHAnsi" w:cs="Arial"/>
                <w:b w:val="0"/>
                <w:sz w:val="22"/>
                <w:szCs w:val="22"/>
              </w:rPr>
              <w:t>De coördinerend ambtenaar bewaakt de voortgang. Daartoe is het noodzakelijk dat de coördinerend ambtenaar een kopie ontvangt van alle brieven die de wijkraad aan de gemeente richt.</w:t>
            </w:r>
          </w:p>
          <w:p w:rsidR="00756FE4" w:rsidRPr="00756FE4" w:rsidRDefault="00756FE4" w:rsidP="00756FE4">
            <w:pPr>
              <w:pStyle w:val="Plattetekst"/>
              <w:numPr>
                <w:ilvl w:val="0"/>
                <w:numId w:val="7"/>
              </w:numPr>
              <w:rPr>
                <w:rFonts w:asciiTheme="minorHAnsi" w:hAnsiTheme="minorHAnsi" w:cs="Arial"/>
                <w:b w:val="0"/>
                <w:sz w:val="22"/>
                <w:szCs w:val="22"/>
              </w:rPr>
            </w:pPr>
            <w:r w:rsidRPr="00756FE4">
              <w:rPr>
                <w:rFonts w:asciiTheme="minorHAnsi" w:hAnsiTheme="minorHAnsi" w:cs="Arial"/>
                <w:b w:val="0"/>
                <w:sz w:val="22"/>
                <w:szCs w:val="22"/>
              </w:rPr>
              <w:t>De coördinerend ambtenaar volgt de ontwikkelingen binnen de organisatie en brengt de eventuele rol die de wijkraad hierin kan hebben onder de aandacht van de betreffende collega ambtenaar.</w:t>
            </w:r>
          </w:p>
          <w:p w:rsidR="00DD7705" w:rsidRPr="005169D6" w:rsidRDefault="00756FE4" w:rsidP="002E6EAE">
            <w:pPr>
              <w:pStyle w:val="Plattetekst"/>
              <w:numPr>
                <w:ilvl w:val="0"/>
                <w:numId w:val="7"/>
              </w:numPr>
              <w:rPr>
                <w:rFonts w:asciiTheme="minorHAnsi" w:hAnsiTheme="minorHAnsi" w:cs="Arial"/>
                <w:b w:val="0"/>
                <w:sz w:val="22"/>
                <w:szCs w:val="22"/>
              </w:rPr>
            </w:pPr>
            <w:r w:rsidRPr="00756FE4">
              <w:rPr>
                <w:rFonts w:asciiTheme="minorHAnsi" w:hAnsiTheme="minorHAnsi" w:cs="Arial"/>
                <w:b w:val="0"/>
                <w:sz w:val="22"/>
                <w:szCs w:val="22"/>
              </w:rPr>
              <w:t>De wijkraad kan via de coördinerend ambtenaar een andere beleidsverantwoordelijke ambtenaar uitnodigen voor een inhoudelijke toelichting.</w:t>
            </w:r>
          </w:p>
        </w:tc>
      </w:tr>
      <w:tr w:rsidR="00B07432" w:rsidTr="00B07432">
        <w:tc>
          <w:tcPr>
            <w:tcW w:w="4606" w:type="dxa"/>
          </w:tcPr>
          <w:p w:rsidR="00B07432" w:rsidRDefault="002E6EAE">
            <w:r>
              <w:lastRenderedPageBreak/>
              <w:t>4a. De wijkraad vormt de ogen en oren van de wijk door middel van hun individuele en collectieve netwerk in de wijk en door het houden van minimaal één wijkraadpleging per jaar in de wijk.</w:t>
            </w:r>
          </w:p>
        </w:tc>
        <w:tc>
          <w:tcPr>
            <w:tcW w:w="4606" w:type="dxa"/>
          </w:tcPr>
          <w:p w:rsidR="00B07432" w:rsidRDefault="002E6EAE">
            <w:r>
              <w:t>4b. Het college vindt de inhoudelijke representativiteit van de wijkraad belangrijk. Het college faciliteert de meningsvorming via de wijkraadplegingen door tijdig de gevraagde informatie te leveren en voldoende middelen en bestuursinformatie aan de wijkraad ter beschikking te stellen ten behoeve van waardevolle resultaten van de wijkraadplegingen.</w:t>
            </w:r>
          </w:p>
        </w:tc>
      </w:tr>
      <w:tr w:rsidR="00B07432" w:rsidTr="00B07432">
        <w:tc>
          <w:tcPr>
            <w:tcW w:w="4606" w:type="dxa"/>
          </w:tcPr>
          <w:p w:rsidR="00B07432" w:rsidRDefault="002E6EAE" w:rsidP="002E6EAE">
            <w:r>
              <w:t>5a. De wijkraad zorgt voor een goed functioneren van de wijkraad als afspiegeling van de wijk. Zij stellen hiertoe een huishoudelijk reglement op en beslissen op basis hiervan over het ‘aannemen’ van kandidaat-leden. De wijkraad stelt jaarlijks een begroting op en verantwoordt hun uitgaven aan de gemeente.</w:t>
            </w:r>
          </w:p>
        </w:tc>
        <w:tc>
          <w:tcPr>
            <w:tcW w:w="4606" w:type="dxa"/>
          </w:tcPr>
          <w:p w:rsidR="00B07432" w:rsidRDefault="002E6EAE" w:rsidP="002E6EAE">
            <w:r>
              <w:t xml:space="preserve">5b. Het college vindt de personele representativiteit van de wijkraad belangrijk, maar stelt deze niet als absolute eis. Het college faciliteert de wijkraad met voldoende middelen en ondersteuning. </w:t>
            </w:r>
          </w:p>
        </w:tc>
      </w:tr>
    </w:tbl>
    <w:p w:rsidR="0007554F" w:rsidRDefault="0007554F">
      <w:r>
        <w:br w:type="page"/>
      </w:r>
    </w:p>
    <w:p w:rsidR="0007554F" w:rsidRPr="009E4B66" w:rsidRDefault="0007554F" w:rsidP="0007554F">
      <w:pPr>
        <w:numPr>
          <w:ilvl w:val="0"/>
          <w:numId w:val="3"/>
        </w:numPr>
        <w:spacing w:after="0" w:line="240" w:lineRule="auto"/>
        <w:rPr>
          <w:rFonts w:ascii="Arial" w:hAnsi="Arial" w:cs="Arial"/>
          <w:b/>
        </w:rPr>
      </w:pPr>
      <w:r w:rsidRPr="009E4B66">
        <w:rPr>
          <w:rFonts w:ascii="Arial" w:hAnsi="Arial" w:cs="Arial"/>
          <w:b/>
        </w:rPr>
        <w:lastRenderedPageBreak/>
        <w:t>Achtergrond</w:t>
      </w:r>
    </w:p>
    <w:p w:rsidR="0007554F" w:rsidRPr="009E4B66" w:rsidRDefault="0007554F" w:rsidP="0007554F">
      <w:pPr>
        <w:rPr>
          <w:rFonts w:ascii="Arial" w:hAnsi="Arial" w:cs="Arial"/>
        </w:rPr>
      </w:pPr>
      <w:r w:rsidRPr="009E4B66">
        <w:rPr>
          <w:rFonts w:ascii="Arial" w:hAnsi="Arial" w:cs="Arial"/>
        </w:rPr>
        <w:t>Op 27 oktober 2005 heeft de gemeenteraad van de gemeente Sint-Oedenrode de toekomstvisie “De Rooi(s)e Draad” vastgesteld. In het najaar 2012 gevolgd door “de Rooi(s)e draad versterkt”. In deze visie is de gemeente Sint-Oedenrode benoemd als een bijzondere woongemeente. Geen grootschalige, eentonige uitbreidingswijken, maar in de historie en het landschap passende woonvormen. Iedereen, zowel bewoners als bezoekers, weet wat Sint-Oedenrode onderscheidt van andere plaatsen.</w:t>
      </w:r>
    </w:p>
    <w:p w:rsidR="0007554F" w:rsidRPr="009E4B66" w:rsidRDefault="0007554F" w:rsidP="0007554F">
      <w:pPr>
        <w:rPr>
          <w:rFonts w:ascii="Arial" w:hAnsi="Arial" w:cs="Arial"/>
        </w:rPr>
      </w:pPr>
      <w:r w:rsidRPr="009E4B66">
        <w:rPr>
          <w:rFonts w:ascii="Arial" w:hAnsi="Arial" w:cs="Arial"/>
        </w:rPr>
        <w:t>Een ongedeelde en dynamische samenleving, waar de menselijke schaal en maat centraal staan, ingebed in een karakteristieke natuurlijke en landschappelijke omgeving. Dat is de uitdaging voor bestuur en samenleving van Sint-Oedenrode voor de komende tijd. Een betrokken en actieve gemeenschap die woont en werkt in een bijzondere setting. Cultuurhistorie is een belangrijke inspiratiebron, het ‘Groene Woud’ is een te koesteren parel, en een aantrekkelijk centrum vormt de centrale ontmoetingsplek voor inwoners en bezoekers. Kortom: gemoedelijk, gastvrij en groen. De gewenste dynamiek staat er in het teken van verrijking en het tegengaan van vervlakking.</w:t>
      </w:r>
    </w:p>
    <w:p w:rsidR="0007554F" w:rsidRPr="009E4B66" w:rsidRDefault="0007554F" w:rsidP="0007554F">
      <w:pPr>
        <w:rPr>
          <w:rFonts w:ascii="Arial" w:hAnsi="Arial" w:cs="Arial"/>
        </w:rPr>
      </w:pPr>
      <w:r w:rsidRPr="009E4B66">
        <w:rPr>
          <w:rFonts w:ascii="Arial" w:hAnsi="Arial" w:cs="Arial"/>
        </w:rPr>
        <w:t xml:space="preserve">Sint-Oedenrode kiest voor groei binnen kwalitatieve grenzen. De Rooienaren vormen het uitgangspunt. Dat betekent dat steeds goed wordt nagedacht over mogelijkheden voor de inwoners om deel te kunnen nemen aan het maatschappelijk leven en zich te kunnen ontwikkelen. Onderwijs, zorg, recreatie, ontmoetingsplaatsen en lokale werkgelegenheid zijn essentieel in het behouden en versterken van de leefbaarheid en vitaliteit van de </w:t>
      </w:r>
      <w:proofErr w:type="spellStart"/>
      <w:r w:rsidRPr="009E4B66">
        <w:rPr>
          <w:rFonts w:ascii="Arial" w:hAnsi="Arial" w:cs="Arial"/>
        </w:rPr>
        <w:t>Rooise</w:t>
      </w:r>
      <w:proofErr w:type="spellEnd"/>
      <w:r w:rsidRPr="009E4B66">
        <w:rPr>
          <w:rFonts w:ascii="Arial" w:hAnsi="Arial" w:cs="Arial"/>
        </w:rPr>
        <w:t xml:space="preserve"> gemeenschap.</w:t>
      </w:r>
    </w:p>
    <w:p w:rsidR="0007554F" w:rsidRDefault="0007554F" w:rsidP="0007554F">
      <w:pPr>
        <w:spacing w:before="100" w:beforeAutospacing="1" w:after="100" w:afterAutospacing="1"/>
        <w:rPr>
          <w:rFonts w:ascii="Arial" w:hAnsi="Arial" w:cs="Arial"/>
        </w:rPr>
      </w:pPr>
      <w:r w:rsidRPr="009E4B66">
        <w:rPr>
          <w:rFonts w:ascii="Arial" w:hAnsi="Arial" w:cs="Arial"/>
        </w:rPr>
        <w:t xml:space="preserve">De Leefbaarheid in de wijken Kienehoef, Cathalijne en Kinderbos krijgt vanaf 2012 extra aandacht. Na het voltooien van het </w:t>
      </w:r>
      <w:proofErr w:type="spellStart"/>
      <w:r w:rsidRPr="009E4B66">
        <w:rPr>
          <w:rFonts w:ascii="Arial" w:hAnsi="Arial" w:cs="Arial"/>
        </w:rPr>
        <w:t>iWOP</w:t>
      </w:r>
      <w:proofErr w:type="spellEnd"/>
      <w:r w:rsidRPr="009E4B66">
        <w:rPr>
          <w:rFonts w:ascii="Arial" w:hAnsi="Arial" w:cs="Arial"/>
        </w:rPr>
        <w:t xml:space="preserve"> (integraal wijk ontwikkelingsplan KCK) en de publicatie van de “Rooi(s)e draad versterkt” en met het instellen van de wijkraad wordt sterk ingezet op participatie van de burgers. </w:t>
      </w:r>
    </w:p>
    <w:p w:rsidR="0007554F" w:rsidRDefault="0007554F">
      <w:pPr>
        <w:rPr>
          <w:rFonts w:ascii="Arial" w:hAnsi="Arial" w:cs="Arial"/>
        </w:rPr>
      </w:pPr>
      <w:r>
        <w:rPr>
          <w:rFonts w:ascii="Arial" w:hAnsi="Arial" w:cs="Arial"/>
        </w:rPr>
        <w:br w:type="page"/>
      </w:r>
    </w:p>
    <w:p w:rsidR="0007554F" w:rsidRPr="009E4B66" w:rsidRDefault="0007554F" w:rsidP="0007554F">
      <w:pPr>
        <w:numPr>
          <w:ilvl w:val="0"/>
          <w:numId w:val="3"/>
        </w:numPr>
        <w:spacing w:after="0" w:line="240" w:lineRule="auto"/>
        <w:rPr>
          <w:rFonts w:ascii="Arial" w:hAnsi="Arial" w:cs="Arial"/>
          <w:b/>
        </w:rPr>
      </w:pPr>
      <w:r w:rsidRPr="009E4B66">
        <w:rPr>
          <w:rFonts w:ascii="Arial" w:hAnsi="Arial" w:cs="Arial"/>
          <w:b/>
        </w:rPr>
        <w:lastRenderedPageBreak/>
        <w:t>Inleiding</w:t>
      </w:r>
    </w:p>
    <w:p w:rsidR="0007554F" w:rsidRPr="009E4B66" w:rsidRDefault="0007554F" w:rsidP="0007554F">
      <w:pPr>
        <w:rPr>
          <w:rFonts w:ascii="Arial" w:hAnsi="Arial" w:cs="Arial"/>
        </w:rPr>
      </w:pPr>
      <w:r>
        <w:rPr>
          <w:rFonts w:ascii="Arial" w:hAnsi="Arial" w:cs="Arial"/>
        </w:rPr>
        <w:t>Middels</w:t>
      </w:r>
      <w:r w:rsidRPr="009E4B66">
        <w:rPr>
          <w:rFonts w:ascii="Arial" w:hAnsi="Arial" w:cs="Arial"/>
        </w:rPr>
        <w:t xml:space="preserve"> dit convenant wil de </w:t>
      </w:r>
      <w:r w:rsidR="00941FC3">
        <w:rPr>
          <w:rFonts w:ascii="Arial" w:hAnsi="Arial" w:cs="Arial"/>
        </w:rPr>
        <w:t xml:space="preserve">wijkraad KCKRooi en de </w:t>
      </w:r>
      <w:r w:rsidRPr="009E4B66">
        <w:rPr>
          <w:rFonts w:ascii="Arial" w:hAnsi="Arial" w:cs="Arial"/>
        </w:rPr>
        <w:t xml:space="preserve">gemeente met name de </w:t>
      </w:r>
      <w:r>
        <w:rPr>
          <w:rFonts w:ascii="Arial" w:hAnsi="Arial" w:cs="Arial"/>
        </w:rPr>
        <w:t xml:space="preserve">leefbaarheid en welzijn bevorderen </w:t>
      </w:r>
      <w:r w:rsidR="00941FC3">
        <w:rPr>
          <w:rFonts w:ascii="Arial" w:hAnsi="Arial" w:cs="Arial"/>
        </w:rPr>
        <w:t>in</w:t>
      </w:r>
      <w:r w:rsidRPr="009E4B66">
        <w:rPr>
          <w:rFonts w:ascii="Arial" w:hAnsi="Arial" w:cs="Arial"/>
        </w:rPr>
        <w:t xml:space="preserve"> de wijken Kienehoef, Cathalijne en Kinderbos, de drie wijken ten noorden van het centrum van Sint-Oedenrode.</w:t>
      </w:r>
    </w:p>
    <w:p w:rsidR="0007554F" w:rsidRDefault="0007554F" w:rsidP="0007554F">
      <w:pPr>
        <w:rPr>
          <w:rFonts w:ascii="Arial" w:hAnsi="Arial" w:cs="Arial"/>
        </w:rPr>
      </w:pPr>
    </w:p>
    <w:p w:rsidR="0007554F" w:rsidRPr="009E4B66" w:rsidRDefault="0007554F" w:rsidP="0007554F">
      <w:pPr>
        <w:rPr>
          <w:rFonts w:ascii="Arial" w:hAnsi="Arial" w:cs="Arial"/>
        </w:rPr>
      </w:pPr>
      <w:r w:rsidRPr="009E4B66">
        <w:rPr>
          <w:rFonts w:ascii="Arial" w:hAnsi="Arial" w:cs="Arial"/>
        </w:rPr>
        <w:t>Kienehoef</w:t>
      </w:r>
    </w:p>
    <w:p w:rsidR="0007554F" w:rsidRPr="009E4B66" w:rsidRDefault="0007554F" w:rsidP="0007554F">
      <w:pPr>
        <w:rPr>
          <w:rFonts w:ascii="Arial" w:hAnsi="Arial" w:cs="Arial"/>
        </w:rPr>
      </w:pPr>
      <w:r w:rsidRPr="009E4B66">
        <w:rPr>
          <w:rFonts w:ascii="Arial" w:hAnsi="Arial" w:cs="Arial"/>
        </w:rPr>
        <w:t xml:space="preserve">Deze wijk is de grootste van de drie betreffende wijken, met op 1 januari 2011: 3.840 inwoners. Hij is gebouwd in de jaren 70 (zuidelijk deel met groenstroken, rijtjes huizen daarom heen en daarom heen vrije sector woningen) en de jaren 80 (noordelijk deel, met woonerven en een ringweg). De wijk wordt verder gekenmerkt door een aantal sociale voorzieningen: 2 basisscholen en een klein winkelcentrum. Daarnaast is er een cafetaria. In het park dat dienst doet voor heel Sint-Oedenrode wordt een horeca voorziening gebouwd en wordt de bestaande vrije tijd voorziening (speeltuin en kinderboerderij) in de komende jaren uitgebouwd. In het overgangsgebied naar landbouwgebied </w:t>
      </w:r>
      <w:proofErr w:type="spellStart"/>
      <w:r w:rsidRPr="009E4B66">
        <w:rPr>
          <w:rFonts w:ascii="Arial" w:hAnsi="Arial" w:cs="Arial"/>
        </w:rPr>
        <w:t>Schijndelse</w:t>
      </w:r>
      <w:proofErr w:type="spellEnd"/>
      <w:r w:rsidRPr="009E4B66">
        <w:rPr>
          <w:rFonts w:ascii="Arial" w:hAnsi="Arial" w:cs="Arial"/>
        </w:rPr>
        <w:t xml:space="preserve"> Heide treffen we bovendien sportvoorzieningen aan.</w:t>
      </w:r>
    </w:p>
    <w:p w:rsidR="0007554F" w:rsidRPr="009E4B66" w:rsidRDefault="0007554F" w:rsidP="0007554F">
      <w:pPr>
        <w:rPr>
          <w:rFonts w:ascii="Arial" w:hAnsi="Arial" w:cs="Arial"/>
        </w:rPr>
      </w:pPr>
    </w:p>
    <w:p w:rsidR="0007554F" w:rsidRPr="009E4B66" w:rsidRDefault="0007554F" w:rsidP="0007554F">
      <w:pPr>
        <w:rPr>
          <w:rFonts w:ascii="Arial" w:hAnsi="Arial" w:cs="Arial"/>
        </w:rPr>
      </w:pPr>
      <w:r w:rsidRPr="009E4B66">
        <w:rPr>
          <w:rFonts w:ascii="Arial" w:hAnsi="Arial" w:cs="Arial"/>
        </w:rPr>
        <w:t>Cathalijne</w:t>
      </w:r>
    </w:p>
    <w:p w:rsidR="0007554F" w:rsidRPr="009E4B66" w:rsidRDefault="0007554F" w:rsidP="0007554F">
      <w:pPr>
        <w:rPr>
          <w:rFonts w:ascii="Arial" w:hAnsi="Arial" w:cs="Arial"/>
        </w:rPr>
      </w:pPr>
      <w:r w:rsidRPr="009E4B66">
        <w:rPr>
          <w:rFonts w:ascii="Arial" w:hAnsi="Arial" w:cs="Arial"/>
        </w:rPr>
        <w:t xml:space="preserve">De wijk Cathalijne, tussen de </w:t>
      </w:r>
      <w:proofErr w:type="spellStart"/>
      <w:r w:rsidRPr="009E4B66">
        <w:rPr>
          <w:rFonts w:ascii="Arial" w:hAnsi="Arial" w:cs="Arial"/>
        </w:rPr>
        <w:t>Ollandseweg</w:t>
      </w:r>
      <w:proofErr w:type="spellEnd"/>
      <w:r w:rsidRPr="009E4B66">
        <w:rPr>
          <w:rFonts w:ascii="Arial" w:hAnsi="Arial" w:cs="Arial"/>
        </w:rPr>
        <w:t xml:space="preserve"> en de groenstrook langs de Dommel, ligt ingeklemd in het buitengebied. De wijk is in de jaren 80 gebouwd en heeft zowel afwisselende koopwoningen als huurwoningen. Langs de randen in het westen van de wijk zijn dit voornamelijk vrijstaande woningen. De uitgang van de wijk richting centrum langs het </w:t>
      </w:r>
      <w:proofErr w:type="spellStart"/>
      <w:r w:rsidRPr="009E4B66">
        <w:rPr>
          <w:rFonts w:ascii="Arial" w:hAnsi="Arial" w:cs="Arial"/>
        </w:rPr>
        <w:t>Cathalijnepad</w:t>
      </w:r>
      <w:proofErr w:type="spellEnd"/>
      <w:r w:rsidRPr="009E4B66">
        <w:rPr>
          <w:rFonts w:ascii="Arial" w:hAnsi="Arial" w:cs="Arial"/>
        </w:rPr>
        <w:t xml:space="preserve"> kent een speelvoorziening voor kinderen die door de bewoners bijgehouden wordt. Verderop langs het </w:t>
      </w:r>
      <w:proofErr w:type="spellStart"/>
      <w:r w:rsidRPr="009E4B66">
        <w:rPr>
          <w:rFonts w:ascii="Arial" w:hAnsi="Arial" w:cs="Arial"/>
        </w:rPr>
        <w:t>Cathalijnepad</w:t>
      </w:r>
      <w:proofErr w:type="spellEnd"/>
      <w:r w:rsidRPr="009E4B66">
        <w:rPr>
          <w:rFonts w:ascii="Arial" w:hAnsi="Arial" w:cs="Arial"/>
        </w:rPr>
        <w:t xml:space="preserve"> </w:t>
      </w:r>
      <w:r w:rsidR="00A911F0">
        <w:rPr>
          <w:rFonts w:ascii="Arial" w:hAnsi="Arial" w:cs="Arial"/>
        </w:rPr>
        <w:t xml:space="preserve"> tref</w:t>
      </w:r>
      <w:r w:rsidRPr="009E4B66">
        <w:rPr>
          <w:rFonts w:ascii="Arial" w:hAnsi="Arial" w:cs="Arial"/>
        </w:rPr>
        <w:t xml:space="preserve"> je vrijetijdsvoorzieningen aan, een zorgboerderij, volkstuintjes etc. In het oostelijk deel van deze wijk is bovendien plaats ingeruimd voor een aantal woonwagens.</w:t>
      </w:r>
    </w:p>
    <w:p w:rsidR="0007554F" w:rsidRPr="009E4B66" w:rsidRDefault="0007554F" w:rsidP="0007554F">
      <w:pPr>
        <w:rPr>
          <w:rFonts w:ascii="Arial" w:hAnsi="Arial" w:cs="Arial"/>
        </w:rPr>
      </w:pPr>
    </w:p>
    <w:p w:rsidR="0007554F" w:rsidRPr="009E4B66" w:rsidRDefault="0007554F" w:rsidP="0007554F">
      <w:pPr>
        <w:rPr>
          <w:rFonts w:ascii="Arial" w:hAnsi="Arial" w:cs="Arial"/>
        </w:rPr>
      </w:pPr>
      <w:r w:rsidRPr="009E4B66">
        <w:rPr>
          <w:rFonts w:ascii="Arial" w:hAnsi="Arial" w:cs="Arial"/>
        </w:rPr>
        <w:t>Kinderbos</w:t>
      </w:r>
    </w:p>
    <w:p w:rsidR="00600406" w:rsidRPr="00A911F0" w:rsidRDefault="0007554F">
      <w:pPr>
        <w:rPr>
          <w:rFonts w:ascii="Arial" w:hAnsi="Arial" w:cs="Arial"/>
          <w:szCs w:val="20"/>
        </w:rPr>
      </w:pPr>
      <w:r w:rsidRPr="009E4B66">
        <w:rPr>
          <w:rFonts w:ascii="Arial" w:hAnsi="Arial" w:cs="Arial"/>
        </w:rPr>
        <w:t xml:space="preserve">Samen met Cathalijne hebben we het hier over 1310 inwoners (01-01-2011). Deze wijk is in de jaren 80-90 gebouwd en heeft een gedifferentieerd woningaanbod van rijtjeshuizen tot vrijstaande woningen, zowel koop als huur. Het centrum van de wijk wordt gevormd door het </w:t>
      </w:r>
      <w:proofErr w:type="spellStart"/>
      <w:r w:rsidRPr="009E4B66">
        <w:rPr>
          <w:rFonts w:ascii="Arial" w:hAnsi="Arial" w:cs="Arial"/>
        </w:rPr>
        <w:t>Sweelinckplein</w:t>
      </w:r>
      <w:proofErr w:type="spellEnd"/>
      <w:r w:rsidRPr="009E4B66">
        <w:rPr>
          <w:rFonts w:ascii="Arial" w:hAnsi="Arial" w:cs="Arial"/>
        </w:rPr>
        <w:t xml:space="preserve">, een plein met speelvoorzieningen voor de jeugd. De opbouw van de wijk is gesitueerd rond meerdere pleinen. Naast het genoemde </w:t>
      </w:r>
      <w:proofErr w:type="spellStart"/>
      <w:r w:rsidRPr="009E4B66">
        <w:rPr>
          <w:rFonts w:ascii="Arial" w:hAnsi="Arial" w:cs="Arial"/>
        </w:rPr>
        <w:t>Sweelinckplein</w:t>
      </w:r>
      <w:proofErr w:type="spellEnd"/>
      <w:r w:rsidRPr="009E4B66">
        <w:rPr>
          <w:rFonts w:ascii="Arial" w:hAnsi="Arial" w:cs="Arial"/>
        </w:rPr>
        <w:t xml:space="preserve"> zijn dat het </w:t>
      </w:r>
      <w:proofErr w:type="spellStart"/>
      <w:r w:rsidRPr="009E4B66">
        <w:rPr>
          <w:rFonts w:ascii="Arial" w:hAnsi="Arial" w:cs="Arial"/>
        </w:rPr>
        <w:t>Mahlerplein</w:t>
      </w:r>
      <w:proofErr w:type="spellEnd"/>
      <w:r w:rsidRPr="009E4B66">
        <w:rPr>
          <w:rFonts w:ascii="Arial" w:hAnsi="Arial" w:cs="Arial"/>
        </w:rPr>
        <w:t xml:space="preserve">, </w:t>
      </w:r>
      <w:proofErr w:type="spellStart"/>
      <w:r w:rsidRPr="009E4B66">
        <w:rPr>
          <w:rFonts w:ascii="Arial" w:hAnsi="Arial" w:cs="Arial"/>
        </w:rPr>
        <w:t>Haydnplein</w:t>
      </w:r>
      <w:proofErr w:type="spellEnd"/>
      <w:r w:rsidRPr="009E4B66">
        <w:rPr>
          <w:rFonts w:ascii="Arial" w:hAnsi="Arial" w:cs="Arial"/>
        </w:rPr>
        <w:t xml:space="preserve"> en </w:t>
      </w:r>
      <w:proofErr w:type="spellStart"/>
      <w:r w:rsidRPr="009E4B66">
        <w:rPr>
          <w:rFonts w:ascii="Arial" w:hAnsi="Arial" w:cs="Arial"/>
        </w:rPr>
        <w:t>Andriessenplein</w:t>
      </w:r>
      <w:proofErr w:type="spellEnd"/>
      <w:r w:rsidRPr="009E4B66">
        <w:rPr>
          <w:rFonts w:ascii="Arial" w:hAnsi="Arial" w:cs="Arial"/>
        </w:rPr>
        <w:t>.</w:t>
      </w:r>
      <w:r w:rsidR="00600406">
        <w:rPr>
          <w:rFonts w:ascii="Arial" w:hAnsi="Arial" w:cs="Arial"/>
        </w:rPr>
        <w:br w:type="page"/>
      </w:r>
    </w:p>
    <w:p w:rsidR="0007554F" w:rsidRDefault="0007554F">
      <w:pPr>
        <w:rPr>
          <w:rFonts w:ascii="Verdana" w:hAnsi="Verdana"/>
          <w:b/>
          <w:szCs w:val="18"/>
        </w:rPr>
      </w:pPr>
    </w:p>
    <w:p w:rsidR="002E6EAE" w:rsidRPr="00204987" w:rsidRDefault="00A911F0" w:rsidP="002E6EAE">
      <w:pPr>
        <w:spacing w:before="100" w:beforeAutospacing="1" w:after="100" w:afterAutospacing="1"/>
        <w:rPr>
          <w:rFonts w:ascii="Verdana" w:hAnsi="Verdana"/>
          <w:b/>
          <w:sz w:val="18"/>
          <w:szCs w:val="18"/>
        </w:rPr>
      </w:pPr>
      <w:r>
        <w:rPr>
          <w:rFonts w:ascii="Verdana" w:hAnsi="Verdana"/>
          <w:b/>
          <w:szCs w:val="18"/>
        </w:rPr>
        <w:t>Document versie b</w:t>
      </w:r>
      <w:r w:rsidR="002E6EAE" w:rsidRPr="00204987">
        <w:rPr>
          <w:rFonts w:ascii="Verdana" w:hAnsi="Verdana"/>
          <w:b/>
          <w:szCs w:val="18"/>
        </w:rPr>
        <w:t>eheer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2130"/>
        <w:gridCol w:w="2141"/>
        <w:gridCol w:w="2160"/>
      </w:tblGrid>
      <w:tr w:rsidR="002E6EAE" w:rsidRPr="004C4F1A" w:rsidTr="002E6EAE">
        <w:tc>
          <w:tcPr>
            <w:tcW w:w="2137" w:type="dxa"/>
            <w:shd w:val="clear" w:color="auto" w:fill="DBE5F1"/>
          </w:tcPr>
          <w:p w:rsidR="002E6EAE" w:rsidRPr="004C4F1A" w:rsidRDefault="002E6EAE" w:rsidP="00436590">
            <w:pPr>
              <w:spacing w:before="100" w:beforeAutospacing="1" w:after="100" w:afterAutospacing="1"/>
              <w:rPr>
                <w:rFonts w:ascii="Verdana" w:hAnsi="Verdana"/>
                <w:sz w:val="18"/>
                <w:szCs w:val="18"/>
              </w:rPr>
            </w:pPr>
            <w:r w:rsidRPr="004C4F1A">
              <w:rPr>
                <w:rFonts w:ascii="Verdana" w:hAnsi="Verdana"/>
                <w:sz w:val="18"/>
                <w:szCs w:val="18"/>
              </w:rPr>
              <w:t>Naam Auteur</w:t>
            </w:r>
          </w:p>
        </w:tc>
        <w:tc>
          <w:tcPr>
            <w:tcW w:w="2130" w:type="dxa"/>
            <w:shd w:val="clear" w:color="auto" w:fill="DBE5F1"/>
          </w:tcPr>
          <w:p w:rsidR="002E6EAE" w:rsidRPr="004C4F1A" w:rsidRDefault="002E6EAE" w:rsidP="00436590">
            <w:pPr>
              <w:spacing w:before="100" w:beforeAutospacing="1" w:after="100" w:afterAutospacing="1"/>
              <w:rPr>
                <w:rFonts w:ascii="Verdana" w:hAnsi="Verdana"/>
                <w:sz w:val="18"/>
                <w:szCs w:val="18"/>
              </w:rPr>
            </w:pPr>
            <w:r w:rsidRPr="004C4F1A">
              <w:rPr>
                <w:rFonts w:ascii="Verdana" w:hAnsi="Verdana"/>
                <w:sz w:val="18"/>
                <w:szCs w:val="18"/>
              </w:rPr>
              <w:t>Versie</w:t>
            </w:r>
          </w:p>
        </w:tc>
        <w:tc>
          <w:tcPr>
            <w:tcW w:w="2141" w:type="dxa"/>
            <w:shd w:val="clear" w:color="auto" w:fill="DBE5F1"/>
          </w:tcPr>
          <w:p w:rsidR="002E6EAE" w:rsidRPr="004C4F1A" w:rsidRDefault="002E6EAE" w:rsidP="00436590">
            <w:pPr>
              <w:spacing w:before="100" w:beforeAutospacing="1" w:after="100" w:afterAutospacing="1"/>
              <w:rPr>
                <w:rFonts w:ascii="Verdana" w:hAnsi="Verdana"/>
                <w:sz w:val="18"/>
                <w:szCs w:val="18"/>
              </w:rPr>
            </w:pPr>
            <w:r w:rsidRPr="004C4F1A">
              <w:rPr>
                <w:rFonts w:ascii="Verdana" w:hAnsi="Verdana"/>
                <w:sz w:val="18"/>
                <w:szCs w:val="18"/>
              </w:rPr>
              <w:t>Datum</w:t>
            </w:r>
          </w:p>
        </w:tc>
        <w:tc>
          <w:tcPr>
            <w:tcW w:w="2160" w:type="dxa"/>
            <w:shd w:val="clear" w:color="auto" w:fill="DBE5F1"/>
          </w:tcPr>
          <w:p w:rsidR="002E6EAE" w:rsidRPr="004C4F1A" w:rsidRDefault="002E6EAE" w:rsidP="00436590">
            <w:pPr>
              <w:spacing w:before="100" w:beforeAutospacing="1" w:after="100" w:afterAutospacing="1"/>
              <w:rPr>
                <w:rFonts w:ascii="Verdana" w:hAnsi="Verdana"/>
                <w:sz w:val="18"/>
                <w:szCs w:val="18"/>
              </w:rPr>
            </w:pPr>
            <w:r w:rsidRPr="004C4F1A">
              <w:rPr>
                <w:rFonts w:ascii="Verdana" w:hAnsi="Verdana"/>
                <w:sz w:val="18"/>
                <w:szCs w:val="18"/>
              </w:rPr>
              <w:t>Wijziging</w:t>
            </w:r>
          </w:p>
        </w:tc>
      </w:tr>
      <w:tr w:rsidR="002E6EAE" w:rsidRPr="004C4F1A" w:rsidTr="002E6EAE">
        <w:tc>
          <w:tcPr>
            <w:tcW w:w="2137" w:type="dxa"/>
          </w:tcPr>
          <w:p w:rsidR="002E6EAE" w:rsidRPr="004C4F1A" w:rsidRDefault="002E6EAE" w:rsidP="00436590">
            <w:pPr>
              <w:spacing w:before="100" w:beforeAutospacing="1" w:after="100" w:afterAutospacing="1"/>
              <w:rPr>
                <w:rFonts w:ascii="Verdana" w:hAnsi="Verdana"/>
                <w:sz w:val="18"/>
                <w:szCs w:val="18"/>
              </w:rPr>
            </w:pPr>
            <w:r>
              <w:rPr>
                <w:rFonts w:ascii="Verdana" w:hAnsi="Verdana"/>
                <w:sz w:val="18"/>
                <w:szCs w:val="18"/>
              </w:rPr>
              <w:t xml:space="preserve">Marc </w:t>
            </w:r>
            <w:proofErr w:type="spellStart"/>
            <w:r>
              <w:rPr>
                <w:rFonts w:ascii="Verdana" w:hAnsi="Verdana"/>
                <w:sz w:val="18"/>
                <w:szCs w:val="18"/>
              </w:rPr>
              <w:t>Ponjée</w:t>
            </w:r>
            <w:proofErr w:type="spellEnd"/>
          </w:p>
        </w:tc>
        <w:tc>
          <w:tcPr>
            <w:tcW w:w="2130" w:type="dxa"/>
          </w:tcPr>
          <w:p w:rsidR="002E6EAE" w:rsidRPr="004C4F1A" w:rsidRDefault="00A911F0" w:rsidP="00436590">
            <w:pPr>
              <w:spacing w:before="100" w:beforeAutospacing="1" w:after="100" w:afterAutospacing="1"/>
              <w:rPr>
                <w:rFonts w:ascii="Verdana" w:hAnsi="Verdana"/>
                <w:sz w:val="18"/>
                <w:szCs w:val="18"/>
              </w:rPr>
            </w:pPr>
            <w:r>
              <w:rPr>
                <w:rFonts w:ascii="Verdana" w:hAnsi="Verdana"/>
                <w:sz w:val="18"/>
                <w:szCs w:val="18"/>
              </w:rPr>
              <w:t>v</w:t>
            </w:r>
            <w:r w:rsidR="002E6EAE" w:rsidRPr="004C4F1A">
              <w:rPr>
                <w:rFonts w:ascii="Verdana" w:hAnsi="Verdana"/>
                <w:sz w:val="18"/>
                <w:szCs w:val="18"/>
              </w:rPr>
              <w:t>1.0</w:t>
            </w:r>
          </w:p>
        </w:tc>
        <w:tc>
          <w:tcPr>
            <w:tcW w:w="2141" w:type="dxa"/>
          </w:tcPr>
          <w:p w:rsidR="002E6EAE" w:rsidRPr="004C4F1A" w:rsidRDefault="002E6EAE" w:rsidP="002E6EAE">
            <w:pPr>
              <w:spacing w:before="100" w:beforeAutospacing="1" w:after="100" w:afterAutospacing="1"/>
              <w:rPr>
                <w:rFonts w:ascii="Verdana" w:hAnsi="Verdana"/>
                <w:sz w:val="18"/>
                <w:szCs w:val="18"/>
              </w:rPr>
            </w:pPr>
            <w:r>
              <w:rPr>
                <w:rFonts w:ascii="Verdana" w:hAnsi="Verdana"/>
                <w:sz w:val="18"/>
                <w:szCs w:val="18"/>
              </w:rPr>
              <w:t>24</w:t>
            </w:r>
            <w:r w:rsidRPr="004C4F1A">
              <w:rPr>
                <w:rFonts w:ascii="Verdana" w:hAnsi="Verdana"/>
                <w:sz w:val="18"/>
                <w:szCs w:val="18"/>
              </w:rPr>
              <w:t xml:space="preserve"> </w:t>
            </w:r>
            <w:r>
              <w:rPr>
                <w:rFonts w:ascii="Verdana" w:hAnsi="Verdana"/>
                <w:sz w:val="18"/>
                <w:szCs w:val="18"/>
              </w:rPr>
              <w:t xml:space="preserve">Februari </w:t>
            </w:r>
            <w:r w:rsidRPr="004C4F1A">
              <w:rPr>
                <w:rFonts w:ascii="Verdana" w:hAnsi="Verdana"/>
                <w:sz w:val="18"/>
                <w:szCs w:val="18"/>
              </w:rPr>
              <w:t>2015</w:t>
            </w:r>
          </w:p>
        </w:tc>
        <w:tc>
          <w:tcPr>
            <w:tcW w:w="2160" w:type="dxa"/>
          </w:tcPr>
          <w:p w:rsidR="002E6EAE" w:rsidRPr="004C4F1A" w:rsidRDefault="002E6EAE" w:rsidP="00436590">
            <w:pPr>
              <w:spacing w:before="100" w:beforeAutospacing="1" w:after="100" w:afterAutospacing="1"/>
              <w:rPr>
                <w:rFonts w:ascii="Verdana" w:hAnsi="Verdana"/>
                <w:sz w:val="18"/>
                <w:szCs w:val="18"/>
              </w:rPr>
            </w:pPr>
            <w:r w:rsidRPr="004C4F1A">
              <w:rPr>
                <w:rFonts w:ascii="Verdana" w:hAnsi="Verdana"/>
                <w:sz w:val="18"/>
                <w:szCs w:val="18"/>
              </w:rPr>
              <w:t>Eerste opzet</w:t>
            </w:r>
          </w:p>
        </w:tc>
      </w:tr>
      <w:tr w:rsidR="002E6EAE" w:rsidRPr="004C4F1A" w:rsidTr="002E6EAE">
        <w:tc>
          <w:tcPr>
            <w:tcW w:w="2137" w:type="dxa"/>
          </w:tcPr>
          <w:p w:rsidR="002E6EAE" w:rsidRPr="004C4F1A" w:rsidRDefault="00A911F0" w:rsidP="00436590">
            <w:pPr>
              <w:spacing w:before="100" w:beforeAutospacing="1" w:after="100" w:afterAutospacing="1"/>
              <w:rPr>
                <w:rFonts w:ascii="Verdana" w:hAnsi="Verdana"/>
                <w:sz w:val="18"/>
                <w:szCs w:val="18"/>
              </w:rPr>
            </w:pPr>
            <w:r>
              <w:rPr>
                <w:rFonts w:ascii="Verdana" w:hAnsi="Verdana"/>
                <w:sz w:val="18"/>
                <w:szCs w:val="18"/>
              </w:rPr>
              <w:t xml:space="preserve">Marc </w:t>
            </w:r>
            <w:proofErr w:type="spellStart"/>
            <w:r>
              <w:rPr>
                <w:rFonts w:ascii="Verdana" w:hAnsi="Verdana"/>
                <w:sz w:val="18"/>
                <w:szCs w:val="18"/>
              </w:rPr>
              <w:t>Ponjée</w:t>
            </w:r>
            <w:proofErr w:type="spellEnd"/>
          </w:p>
        </w:tc>
        <w:tc>
          <w:tcPr>
            <w:tcW w:w="2130" w:type="dxa"/>
          </w:tcPr>
          <w:p w:rsidR="002E6EAE" w:rsidRPr="004C4F1A" w:rsidRDefault="00A911F0" w:rsidP="00436590">
            <w:pPr>
              <w:spacing w:before="100" w:beforeAutospacing="1" w:after="100" w:afterAutospacing="1"/>
              <w:rPr>
                <w:rFonts w:ascii="Verdana" w:hAnsi="Verdana"/>
                <w:sz w:val="18"/>
                <w:szCs w:val="18"/>
              </w:rPr>
            </w:pPr>
            <w:r>
              <w:rPr>
                <w:rFonts w:ascii="Verdana" w:hAnsi="Verdana"/>
                <w:sz w:val="18"/>
                <w:szCs w:val="18"/>
              </w:rPr>
              <w:t>v1.1</w:t>
            </w:r>
          </w:p>
        </w:tc>
        <w:tc>
          <w:tcPr>
            <w:tcW w:w="2141" w:type="dxa"/>
          </w:tcPr>
          <w:p w:rsidR="002E6EAE" w:rsidRPr="004C4F1A" w:rsidRDefault="00A911F0" w:rsidP="00436590">
            <w:pPr>
              <w:spacing w:before="100" w:beforeAutospacing="1" w:after="100" w:afterAutospacing="1"/>
              <w:rPr>
                <w:rFonts w:ascii="Verdana" w:hAnsi="Verdana"/>
                <w:sz w:val="18"/>
                <w:szCs w:val="18"/>
              </w:rPr>
            </w:pPr>
            <w:r>
              <w:rPr>
                <w:rFonts w:ascii="Verdana" w:hAnsi="Verdana"/>
                <w:sz w:val="18"/>
                <w:szCs w:val="18"/>
              </w:rPr>
              <w:t>9 Juni 2015</w:t>
            </w:r>
          </w:p>
        </w:tc>
        <w:tc>
          <w:tcPr>
            <w:tcW w:w="2160" w:type="dxa"/>
          </w:tcPr>
          <w:p w:rsidR="002E6EAE" w:rsidRPr="004C4F1A" w:rsidRDefault="00A911F0" w:rsidP="00436590">
            <w:pPr>
              <w:spacing w:before="100" w:beforeAutospacing="1" w:after="100" w:afterAutospacing="1"/>
              <w:rPr>
                <w:rFonts w:ascii="Verdana" w:hAnsi="Verdana"/>
                <w:sz w:val="18"/>
                <w:szCs w:val="18"/>
              </w:rPr>
            </w:pPr>
            <w:r>
              <w:rPr>
                <w:rFonts w:ascii="Verdana" w:hAnsi="Verdana"/>
                <w:sz w:val="18"/>
                <w:szCs w:val="18"/>
              </w:rPr>
              <w:t>Versimpeld</w:t>
            </w:r>
          </w:p>
        </w:tc>
      </w:tr>
      <w:tr w:rsidR="002E6EAE" w:rsidRPr="004C4F1A" w:rsidTr="002E6EAE">
        <w:tc>
          <w:tcPr>
            <w:tcW w:w="2137" w:type="dxa"/>
          </w:tcPr>
          <w:p w:rsidR="002E6EAE" w:rsidRPr="004C4F1A" w:rsidRDefault="002E6EAE" w:rsidP="00436590">
            <w:pPr>
              <w:spacing w:before="100" w:beforeAutospacing="1" w:after="100" w:afterAutospacing="1"/>
              <w:rPr>
                <w:rFonts w:ascii="Verdana" w:hAnsi="Verdana"/>
                <w:sz w:val="18"/>
                <w:szCs w:val="18"/>
              </w:rPr>
            </w:pPr>
          </w:p>
        </w:tc>
        <w:tc>
          <w:tcPr>
            <w:tcW w:w="2130" w:type="dxa"/>
          </w:tcPr>
          <w:p w:rsidR="002E6EAE" w:rsidRPr="004C4F1A" w:rsidRDefault="002E6EAE" w:rsidP="00436590">
            <w:pPr>
              <w:spacing w:before="100" w:beforeAutospacing="1" w:after="100" w:afterAutospacing="1"/>
              <w:rPr>
                <w:rFonts w:ascii="Verdana" w:hAnsi="Verdana"/>
                <w:sz w:val="18"/>
                <w:szCs w:val="18"/>
              </w:rPr>
            </w:pPr>
          </w:p>
        </w:tc>
        <w:tc>
          <w:tcPr>
            <w:tcW w:w="2141" w:type="dxa"/>
          </w:tcPr>
          <w:p w:rsidR="002E6EAE" w:rsidRPr="004C4F1A" w:rsidRDefault="002E6EAE" w:rsidP="00436590">
            <w:pPr>
              <w:spacing w:before="100" w:beforeAutospacing="1" w:after="100" w:afterAutospacing="1"/>
              <w:rPr>
                <w:rFonts w:ascii="Verdana" w:hAnsi="Verdana"/>
                <w:sz w:val="18"/>
                <w:szCs w:val="18"/>
              </w:rPr>
            </w:pPr>
          </w:p>
        </w:tc>
        <w:tc>
          <w:tcPr>
            <w:tcW w:w="2160" w:type="dxa"/>
          </w:tcPr>
          <w:p w:rsidR="002E6EAE" w:rsidRPr="004C4F1A" w:rsidRDefault="002E6EAE" w:rsidP="00436590">
            <w:pPr>
              <w:spacing w:before="100" w:beforeAutospacing="1" w:after="100" w:afterAutospacing="1"/>
              <w:rPr>
                <w:rFonts w:ascii="Verdana" w:hAnsi="Verdana"/>
                <w:sz w:val="18"/>
                <w:szCs w:val="18"/>
              </w:rPr>
            </w:pPr>
          </w:p>
        </w:tc>
      </w:tr>
    </w:tbl>
    <w:p w:rsidR="002E6EAE" w:rsidRPr="00763C5F" w:rsidRDefault="002E6EAE" w:rsidP="002E6EAE">
      <w:pPr>
        <w:spacing w:before="100" w:beforeAutospacing="1" w:after="100" w:afterAutospacing="1"/>
        <w:rPr>
          <w:rFonts w:ascii="Verdana" w:hAnsi="Verdana"/>
          <w:sz w:val="18"/>
          <w:szCs w:val="18"/>
        </w:rPr>
      </w:pPr>
    </w:p>
    <w:p w:rsidR="002E6EAE" w:rsidRDefault="002E6EAE"/>
    <w:sectPr w:rsidR="002E6EAE" w:rsidSect="0008391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A0" w:rsidRDefault="00150EA0" w:rsidP="00B07432">
      <w:pPr>
        <w:spacing w:after="0" w:line="240" w:lineRule="auto"/>
      </w:pPr>
      <w:r>
        <w:separator/>
      </w:r>
    </w:p>
  </w:endnote>
  <w:endnote w:type="continuationSeparator" w:id="0">
    <w:p w:rsidR="00150EA0" w:rsidRDefault="00150EA0" w:rsidP="00B07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A0" w:rsidRDefault="00150EA0" w:rsidP="00B07432">
      <w:pPr>
        <w:spacing w:after="0" w:line="240" w:lineRule="auto"/>
      </w:pPr>
      <w:r>
        <w:separator/>
      </w:r>
    </w:p>
  </w:footnote>
  <w:footnote w:type="continuationSeparator" w:id="0">
    <w:p w:rsidR="00150EA0" w:rsidRDefault="00150EA0" w:rsidP="00B07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2" w:rsidRDefault="002E3ACB">
    <w:pPr>
      <w:pStyle w:val="Koptekst"/>
      <w:jc w:val="center"/>
      <w:rPr>
        <w:color w:val="365F91" w:themeColor="accent1" w:themeShade="BF"/>
      </w:rPr>
    </w:pPr>
    <w:r>
      <w:rPr>
        <w:noProof/>
        <w:color w:val="365F91" w:themeColor="accent1" w:themeShade="BF"/>
        <w:lang w:eastAsia="zh-TW"/>
      </w:rPr>
      <w:pict>
        <v:group id="_x0000_s1025"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Jaar"/>
                      <w:id w:val="78131013"/>
                      <w:placeholder>
                        <w:docPart w:val="A5117AE551734BC08F26FF57D87C5F7D"/>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07432" w:rsidRDefault="00D66F1C">
                        <w:pPr>
                          <w:pStyle w:val="Koptekst"/>
                          <w:jc w:val="center"/>
                          <w:rPr>
                            <w:b/>
                            <w:bCs/>
                            <w:color w:val="FFFFFF" w:themeColor="background1"/>
                          </w:rPr>
                        </w:pPr>
                        <w:r>
                          <w:rPr>
                            <w:b/>
                            <w:bCs/>
                            <w:color w:val="FFFFFF" w:themeColor="background1"/>
                          </w:rPr>
                          <w:t>v1.1</w:t>
                        </w:r>
                      </w:p>
                    </w:sdtContent>
                  </w:sdt>
                </w:txbxContent>
              </v:textbox>
            </v:oval>
          </v:group>
          <w10:wrap anchorx="page" anchory="page"/>
        </v:group>
      </w:pict>
    </w:r>
  </w:p>
  <w:p w:rsidR="00B07432" w:rsidRDefault="00B0743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0776"/>
    <w:multiLevelType w:val="hybridMultilevel"/>
    <w:tmpl w:val="529A4E18"/>
    <w:lvl w:ilvl="0" w:tplc="EE664626">
      <w:start w:val="1"/>
      <w:numFmt w:val="bullet"/>
      <w:lvlText w:val="-"/>
      <w:lvlJc w:val="left"/>
      <w:pPr>
        <w:tabs>
          <w:tab w:val="num" w:pos="1105"/>
        </w:tabs>
        <w:ind w:left="1105" w:hanging="397"/>
      </w:pPr>
      <w:rPr>
        <w:rFonts w:ascii="Univers" w:eastAsia="MS Mincho" w:hAnsi="Univers" w:cs="Times New Roman" w:hint="default"/>
      </w:rPr>
    </w:lvl>
    <w:lvl w:ilvl="1" w:tplc="04130003" w:tentative="1">
      <w:start w:val="1"/>
      <w:numFmt w:val="bullet"/>
      <w:lvlText w:val="o"/>
      <w:lvlJc w:val="left"/>
      <w:pPr>
        <w:tabs>
          <w:tab w:val="num" w:pos="1751"/>
        </w:tabs>
        <w:ind w:left="1751" w:hanging="360"/>
      </w:pPr>
      <w:rPr>
        <w:rFonts w:ascii="Courier New" w:hAnsi="Courier New" w:cs="Courier New" w:hint="default"/>
      </w:rPr>
    </w:lvl>
    <w:lvl w:ilvl="2" w:tplc="04130005" w:tentative="1">
      <w:start w:val="1"/>
      <w:numFmt w:val="bullet"/>
      <w:lvlText w:val=""/>
      <w:lvlJc w:val="left"/>
      <w:pPr>
        <w:tabs>
          <w:tab w:val="num" w:pos="2471"/>
        </w:tabs>
        <w:ind w:left="2471" w:hanging="360"/>
      </w:pPr>
      <w:rPr>
        <w:rFonts w:ascii="Wingdings" w:hAnsi="Wingdings" w:hint="default"/>
      </w:rPr>
    </w:lvl>
    <w:lvl w:ilvl="3" w:tplc="04130001" w:tentative="1">
      <w:start w:val="1"/>
      <w:numFmt w:val="bullet"/>
      <w:lvlText w:val=""/>
      <w:lvlJc w:val="left"/>
      <w:pPr>
        <w:tabs>
          <w:tab w:val="num" w:pos="3191"/>
        </w:tabs>
        <w:ind w:left="3191" w:hanging="360"/>
      </w:pPr>
      <w:rPr>
        <w:rFonts w:ascii="Symbol" w:hAnsi="Symbol" w:hint="default"/>
      </w:rPr>
    </w:lvl>
    <w:lvl w:ilvl="4" w:tplc="04130003" w:tentative="1">
      <w:start w:val="1"/>
      <w:numFmt w:val="bullet"/>
      <w:lvlText w:val="o"/>
      <w:lvlJc w:val="left"/>
      <w:pPr>
        <w:tabs>
          <w:tab w:val="num" w:pos="3911"/>
        </w:tabs>
        <w:ind w:left="3911" w:hanging="360"/>
      </w:pPr>
      <w:rPr>
        <w:rFonts w:ascii="Courier New" w:hAnsi="Courier New" w:cs="Courier New" w:hint="default"/>
      </w:rPr>
    </w:lvl>
    <w:lvl w:ilvl="5" w:tplc="04130005" w:tentative="1">
      <w:start w:val="1"/>
      <w:numFmt w:val="bullet"/>
      <w:lvlText w:val=""/>
      <w:lvlJc w:val="left"/>
      <w:pPr>
        <w:tabs>
          <w:tab w:val="num" w:pos="4631"/>
        </w:tabs>
        <w:ind w:left="4631" w:hanging="360"/>
      </w:pPr>
      <w:rPr>
        <w:rFonts w:ascii="Wingdings" w:hAnsi="Wingdings" w:hint="default"/>
      </w:rPr>
    </w:lvl>
    <w:lvl w:ilvl="6" w:tplc="04130001" w:tentative="1">
      <w:start w:val="1"/>
      <w:numFmt w:val="bullet"/>
      <w:lvlText w:val=""/>
      <w:lvlJc w:val="left"/>
      <w:pPr>
        <w:tabs>
          <w:tab w:val="num" w:pos="5351"/>
        </w:tabs>
        <w:ind w:left="5351" w:hanging="360"/>
      </w:pPr>
      <w:rPr>
        <w:rFonts w:ascii="Symbol" w:hAnsi="Symbol" w:hint="default"/>
      </w:rPr>
    </w:lvl>
    <w:lvl w:ilvl="7" w:tplc="04130003" w:tentative="1">
      <w:start w:val="1"/>
      <w:numFmt w:val="bullet"/>
      <w:lvlText w:val="o"/>
      <w:lvlJc w:val="left"/>
      <w:pPr>
        <w:tabs>
          <w:tab w:val="num" w:pos="6071"/>
        </w:tabs>
        <w:ind w:left="6071" w:hanging="360"/>
      </w:pPr>
      <w:rPr>
        <w:rFonts w:ascii="Courier New" w:hAnsi="Courier New" w:cs="Courier New" w:hint="default"/>
      </w:rPr>
    </w:lvl>
    <w:lvl w:ilvl="8" w:tplc="04130005" w:tentative="1">
      <w:start w:val="1"/>
      <w:numFmt w:val="bullet"/>
      <w:lvlText w:val=""/>
      <w:lvlJc w:val="left"/>
      <w:pPr>
        <w:tabs>
          <w:tab w:val="num" w:pos="6791"/>
        </w:tabs>
        <w:ind w:left="6791" w:hanging="360"/>
      </w:pPr>
      <w:rPr>
        <w:rFonts w:ascii="Wingdings" w:hAnsi="Wingdings" w:hint="default"/>
      </w:rPr>
    </w:lvl>
  </w:abstractNum>
  <w:abstractNum w:abstractNumId="1">
    <w:nsid w:val="159067AB"/>
    <w:multiLevelType w:val="hybridMultilevel"/>
    <w:tmpl w:val="8EFE3FBA"/>
    <w:lvl w:ilvl="0" w:tplc="B298215E">
      <w:start w:val="24"/>
      <w:numFmt w:val="bullet"/>
      <w:lvlText w:val="-"/>
      <w:lvlJc w:val="left"/>
      <w:pPr>
        <w:ind w:left="360" w:hanging="360"/>
      </w:pPr>
      <w:rPr>
        <w:rFonts w:ascii="Calibri" w:eastAsia="MS Mincho"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E2E0021"/>
    <w:multiLevelType w:val="multilevel"/>
    <w:tmpl w:val="DEBEA7FA"/>
    <w:lvl w:ilvl="0">
      <w:start w:val="3"/>
      <w:numFmt w:val="decimal"/>
      <w:lvlText w:val="%1."/>
      <w:lvlJc w:val="left"/>
      <w:pPr>
        <w:tabs>
          <w:tab w:val="num" w:pos="397"/>
        </w:tabs>
        <w:ind w:left="397" w:hanging="397"/>
      </w:pPr>
      <w:rPr>
        <w:rFonts w:hint="default"/>
      </w:rPr>
    </w:lvl>
    <w:lvl w:ilvl="1">
      <w:start w:val="1"/>
      <w:numFmt w:val="decimal"/>
      <w:lvlText w:val="5.%2"/>
      <w:lvlJc w:val="left"/>
      <w:pPr>
        <w:tabs>
          <w:tab w:val="num" w:pos="907"/>
        </w:tabs>
        <w:ind w:left="907" w:hanging="510"/>
      </w:pPr>
      <w:rPr>
        <w:rFonts w:hint="default"/>
      </w:rPr>
    </w:lvl>
    <w:lvl w:ilvl="2">
      <w:start w:val="1"/>
      <w:numFmt w:val="upperRoman"/>
      <w:lvlText w:val="%3%1"/>
      <w:lvlJc w:val="left"/>
      <w:pPr>
        <w:tabs>
          <w:tab w:val="num" w:pos="1418"/>
        </w:tabs>
        <w:ind w:left="1418" w:hanging="51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F0025F8"/>
    <w:multiLevelType w:val="hybridMultilevel"/>
    <w:tmpl w:val="CE1EF1DE"/>
    <w:lvl w:ilvl="0" w:tplc="49A47CAC">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7480EE7"/>
    <w:multiLevelType w:val="multilevel"/>
    <w:tmpl w:val="B3AECCA8"/>
    <w:lvl w:ilvl="0">
      <w:start w:val="1"/>
      <w:numFmt w:val="decimal"/>
      <w:lvlText w:val="3.%1"/>
      <w:lvlJc w:val="left"/>
      <w:pPr>
        <w:tabs>
          <w:tab w:val="num" w:pos="578"/>
        </w:tabs>
        <w:ind w:left="578" w:hanging="578"/>
      </w:pPr>
      <w:rPr>
        <w:rFonts w:hint="default"/>
      </w:rPr>
    </w:lvl>
    <w:lvl w:ilvl="1">
      <w:start w:val="1"/>
      <w:numFmt w:val="decimal"/>
      <w:lvlText w:val="6.%2"/>
      <w:lvlJc w:val="left"/>
      <w:pPr>
        <w:tabs>
          <w:tab w:val="num" w:pos="907"/>
        </w:tabs>
        <w:ind w:left="90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BD10D26"/>
    <w:multiLevelType w:val="hybridMultilevel"/>
    <w:tmpl w:val="EA127C68"/>
    <w:lvl w:ilvl="0" w:tplc="AED22258">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C67E01"/>
    <w:multiLevelType w:val="hybridMultilevel"/>
    <w:tmpl w:val="C3D6A188"/>
    <w:lvl w:ilvl="0" w:tplc="8A3ECEE6">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5122"/>
    <o:shapelayout v:ext="edit">
      <o:idmap v:ext="edit" data="1"/>
      <o:rules v:ext="edit">
        <o:r id="V:Rule2" type="connector" idref="#_x0000_s1026"/>
      </o:rules>
    </o:shapelayout>
  </w:hdrShapeDefaults>
  <w:footnotePr>
    <w:footnote w:id="-1"/>
    <w:footnote w:id="0"/>
  </w:footnotePr>
  <w:endnotePr>
    <w:endnote w:id="-1"/>
    <w:endnote w:id="0"/>
  </w:endnotePr>
  <w:compat/>
  <w:rsids>
    <w:rsidRoot w:val="00B07432"/>
    <w:rsid w:val="0007554F"/>
    <w:rsid w:val="00083913"/>
    <w:rsid w:val="00150EA0"/>
    <w:rsid w:val="00201FDD"/>
    <w:rsid w:val="002E3ACB"/>
    <w:rsid w:val="002E6EAE"/>
    <w:rsid w:val="002F38EE"/>
    <w:rsid w:val="005169D6"/>
    <w:rsid w:val="00600406"/>
    <w:rsid w:val="00756FE4"/>
    <w:rsid w:val="00941FC3"/>
    <w:rsid w:val="00A911F0"/>
    <w:rsid w:val="00B07432"/>
    <w:rsid w:val="00D47085"/>
    <w:rsid w:val="00D52173"/>
    <w:rsid w:val="00D66F1C"/>
    <w:rsid w:val="00DD7705"/>
    <w:rsid w:val="00F809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9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7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7432"/>
  </w:style>
  <w:style w:type="paragraph" w:styleId="Voettekst">
    <w:name w:val="footer"/>
    <w:basedOn w:val="Standaard"/>
    <w:link w:val="VoettekstChar"/>
    <w:uiPriority w:val="99"/>
    <w:semiHidden/>
    <w:unhideWhenUsed/>
    <w:rsid w:val="00B07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07432"/>
  </w:style>
  <w:style w:type="paragraph" w:styleId="Ballontekst">
    <w:name w:val="Balloon Text"/>
    <w:basedOn w:val="Standaard"/>
    <w:link w:val="BallontekstChar"/>
    <w:uiPriority w:val="99"/>
    <w:semiHidden/>
    <w:unhideWhenUsed/>
    <w:rsid w:val="00B07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432"/>
    <w:rPr>
      <w:rFonts w:ascii="Tahoma" w:hAnsi="Tahoma" w:cs="Tahoma"/>
      <w:sz w:val="16"/>
      <w:szCs w:val="16"/>
    </w:rPr>
  </w:style>
  <w:style w:type="table" w:styleId="Tabelraster">
    <w:name w:val="Table Grid"/>
    <w:basedOn w:val="Standaardtabel"/>
    <w:uiPriority w:val="59"/>
    <w:rsid w:val="00B0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52173"/>
    <w:pPr>
      <w:ind w:left="720"/>
      <w:contextualSpacing/>
    </w:pPr>
  </w:style>
  <w:style w:type="paragraph" w:styleId="Plattetekst">
    <w:name w:val="Body Text"/>
    <w:basedOn w:val="Standaard"/>
    <w:link w:val="PlattetekstChar"/>
    <w:rsid w:val="00600406"/>
    <w:pPr>
      <w:spacing w:after="0" w:line="240" w:lineRule="auto"/>
      <w:ind w:left="340"/>
    </w:pPr>
    <w:rPr>
      <w:rFonts w:ascii="Myriad Pro" w:eastAsia="MS Mincho" w:hAnsi="Myriad Pro" w:cs="Times New Roman"/>
      <w:b/>
      <w:bCs/>
      <w:sz w:val="20"/>
      <w:szCs w:val="24"/>
      <w:lang w:eastAsia="nl-NL"/>
    </w:rPr>
  </w:style>
  <w:style w:type="character" w:customStyle="1" w:styleId="PlattetekstChar">
    <w:name w:val="Platte tekst Char"/>
    <w:basedOn w:val="Standaardalinea-lettertype"/>
    <w:link w:val="Plattetekst"/>
    <w:rsid w:val="00600406"/>
    <w:rPr>
      <w:rFonts w:ascii="Myriad Pro" w:eastAsia="MS Mincho" w:hAnsi="Myriad Pro" w:cs="Times New Roman"/>
      <w:b/>
      <w:bCs/>
      <w:sz w:val="20"/>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117AE551734BC08F26FF57D87C5F7D"/>
        <w:category>
          <w:name w:val="Algemeen"/>
          <w:gallery w:val="placeholder"/>
        </w:category>
        <w:types>
          <w:type w:val="bbPlcHdr"/>
        </w:types>
        <w:behaviors>
          <w:behavior w:val="content"/>
        </w:behaviors>
        <w:guid w:val="{2ADBA96D-36A9-487A-B73C-E82FABC04953}"/>
      </w:docPartPr>
      <w:docPartBody>
        <w:p w:rsidR="00091AB2" w:rsidRDefault="007B47EB" w:rsidP="007B47EB">
          <w:pPr>
            <w:pStyle w:val="A5117AE551734BC08F26FF57D87C5F7D"/>
          </w:pPr>
          <w:r>
            <w:rPr>
              <w:b/>
              <w:bCs/>
              <w:color w:val="FFFFFF" w:themeColor="background1"/>
            </w:rPr>
            <w:t>[Jaar]</w:t>
          </w:r>
        </w:p>
      </w:docPartBody>
    </w:docPart>
  </w:docParts>
</w:glossaryDocument>
</file>

<file path=word/glossary/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47EB"/>
    <w:rsid w:val="00091AB2"/>
    <w:rsid w:val="003169FA"/>
    <w:rsid w:val="007B47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A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1C9D272BB2A49BDB50495005C4202D5">
    <w:name w:val="41C9D272BB2A49BDB50495005C4202D5"/>
    <w:rsid w:val="007B47EB"/>
  </w:style>
  <w:style w:type="paragraph" w:customStyle="1" w:styleId="A5117AE551734BC08F26FF57D87C5F7D">
    <w:name w:val="A5117AE551734BC08F26FF57D87C5F7D"/>
    <w:rsid w:val="007B47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1415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Ponjee</dc:creator>
  <cp:lastModifiedBy>Marc Ponjee</cp:lastModifiedBy>
  <cp:revision>3</cp:revision>
  <dcterms:created xsi:type="dcterms:W3CDTF">2015-06-09T21:20:00Z</dcterms:created>
  <dcterms:modified xsi:type="dcterms:W3CDTF">2015-06-09T21:50:00Z</dcterms:modified>
</cp:coreProperties>
</file>